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tblPr>
      <w:tblGrid>
        <w:gridCol w:w="5069"/>
        <w:gridCol w:w="5069"/>
      </w:tblGrid>
      <w:tr w:rsidR="00405D18" w:rsidRPr="00D634F3" w:rsidTr="009648D3">
        <w:tc>
          <w:tcPr>
            <w:tcW w:w="5069" w:type="dxa"/>
          </w:tcPr>
          <w:p w:rsidR="00405D18" w:rsidRPr="00D634F3" w:rsidRDefault="00405D18" w:rsidP="009648D3">
            <w:pPr>
              <w:tabs>
                <w:tab w:val="right" w:pos="9639"/>
              </w:tabs>
              <w:spacing w:before="120"/>
              <w:jc w:val="both"/>
            </w:pPr>
            <w:r w:rsidRPr="00D634F3">
              <w:t>Москва</w:t>
            </w:r>
          </w:p>
        </w:tc>
        <w:tc>
          <w:tcPr>
            <w:tcW w:w="5069" w:type="dxa"/>
          </w:tcPr>
          <w:p w:rsidR="00405D18" w:rsidRPr="00D634F3" w:rsidRDefault="00405D18" w:rsidP="009648D3">
            <w:pPr>
              <w:tabs>
                <w:tab w:val="right" w:pos="9639"/>
              </w:tabs>
              <w:jc w:val="right"/>
            </w:pPr>
            <w:r>
              <w:rPr>
                <w:bCs/>
                <w:color w:val="000000"/>
                <w:sz w:val="21"/>
                <w:szCs w:val="21"/>
              </w:rPr>
              <w:t>__ ___________</w:t>
            </w:r>
            <w:r w:rsidR="0035132F">
              <w:rPr>
                <w:bCs/>
                <w:color w:val="000000"/>
                <w:sz w:val="21"/>
                <w:szCs w:val="21"/>
              </w:rPr>
              <w:t xml:space="preserve"> 20</w:t>
            </w:r>
            <w:r w:rsidR="00560F0D">
              <w:rPr>
                <w:bCs/>
                <w:color w:val="000000"/>
                <w:sz w:val="21"/>
                <w:szCs w:val="21"/>
              </w:rPr>
              <w:t>__</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place">
        <w:smartTagPr>
          <w:attr w:name="ProductID" w:val="2008 г"/>
        </w:smartTagPr>
        <w:smartTag w:uri="urn:schemas-microsoft-com:office:smarttags" w:element="metricconverter">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78697D"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являющийся гражданином (подданным) ____________ _________________________ </w:t>
      </w:r>
      <w:r w:rsidR="001E4E44" w:rsidRPr="00D634F3">
        <w:rPr>
          <w:rFonts w:ascii="Times New Roman" w:hAnsi="Times New Roman"/>
          <w:sz w:val="20"/>
        </w:rPr>
        <w:t>и обладающ</w:t>
      </w:r>
      <w:r w:rsidR="001E4E44">
        <w:rPr>
          <w:rFonts w:ascii="Times New Roman" w:hAnsi="Times New Roman"/>
          <w:sz w:val="20"/>
        </w:rPr>
        <w:t>и</w:t>
      </w:r>
      <w:r w:rsidR="001659A2">
        <w:rPr>
          <w:rFonts w:ascii="Times New Roman" w:hAnsi="Times New Roman"/>
          <w:sz w:val="20"/>
        </w:rPr>
        <w:t>й</w:t>
      </w:r>
      <w:r w:rsidR="001E4E44" w:rsidRPr="00D634F3">
        <w:rPr>
          <w:rFonts w:ascii="Times New Roman" w:hAnsi="Times New Roman"/>
          <w:sz w:val="20"/>
        </w:rPr>
        <w:t xml:space="preserve"> гражданской правоспособностью</w:t>
      </w:r>
      <w:r w:rsidR="00535BC6">
        <w:rPr>
          <w:rFonts w:ascii="Times New Roman" w:hAnsi="Times New Roman"/>
          <w:sz w:val="20"/>
        </w:rPr>
        <w:t xml:space="preserve"> и являющий(</w:t>
      </w:r>
      <w:proofErr w:type="spellStart"/>
      <w:r w:rsidR="00535BC6">
        <w:rPr>
          <w:rFonts w:ascii="Times New Roman" w:hAnsi="Times New Roman"/>
          <w:sz w:val="20"/>
        </w:rPr>
        <w:t>ая</w:t>
      </w:r>
      <w:proofErr w:type="spellEnd"/>
      <w:r w:rsidR="00535BC6">
        <w:rPr>
          <w:rFonts w:ascii="Times New Roman" w:hAnsi="Times New Roman"/>
          <w:sz w:val="20"/>
        </w:rPr>
        <w:t>)</w:t>
      </w:r>
      <w:proofErr w:type="spellStart"/>
      <w:r w:rsidR="00535BC6">
        <w:rPr>
          <w:rFonts w:ascii="Times New Roman" w:hAnsi="Times New Roman"/>
          <w:sz w:val="20"/>
        </w:rPr>
        <w:t>ся</w:t>
      </w:r>
      <w:proofErr w:type="spellEnd"/>
      <w:r w:rsidR="00535BC6">
        <w:rPr>
          <w:rFonts w:ascii="Times New Roman" w:hAnsi="Times New Roman"/>
          <w:sz w:val="20"/>
        </w:rPr>
        <w:t xml:space="preserve"> полностью дееспособным(ой)</w:t>
      </w:r>
      <w:r w:rsidR="001E4E44" w:rsidRPr="00D634F3">
        <w:rPr>
          <w:rFonts w:ascii="Times New Roman" w:hAnsi="Times New Roman"/>
          <w:sz w:val="20"/>
        </w:rPr>
        <w:t>,</w:t>
      </w:r>
      <w:r w:rsidR="009648D3" w:rsidRPr="002D6C77">
        <w:rPr>
          <w:rFonts w:ascii="Times New Roman" w:hAnsi="Times New Roman"/>
          <w:sz w:val="20"/>
        </w:rPr>
        <w:t xml:space="preserve"> </w:t>
      </w:r>
      <w:r w:rsidR="009648D3" w:rsidRPr="00D634F3">
        <w:rPr>
          <w:rFonts w:ascii="Times New Roman" w:hAnsi="Times New Roman"/>
          <w:sz w:val="20"/>
        </w:rPr>
        <w:t>в дальнейшем именуем</w:t>
      </w:r>
      <w:r w:rsidR="009648D3">
        <w:rPr>
          <w:rFonts w:ascii="Times New Roman" w:hAnsi="Times New Roman"/>
          <w:sz w:val="20"/>
        </w:rPr>
        <w:t>ый</w:t>
      </w:r>
      <w:r w:rsidR="009648D3" w:rsidRPr="00D634F3">
        <w:rPr>
          <w:rFonts w:ascii="Times New Roman" w:hAnsi="Times New Roman"/>
          <w:sz w:val="20"/>
        </w:rPr>
        <w:t xml:space="preserve"> "Депонент", </w:t>
      </w:r>
      <w:r w:rsidR="009648D3" w:rsidRPr="00251785">
        <w:rPr>
          <w:rFonts w:ascii="Times New Roman" w:hAnsi="Times New Roman"/>
          <w:color w:val="0070C0"/>
          <w:sz w:val="20"/>
        </w:rPr>
        <w:t xml:space="preserve">в лице ______________________________________ , действующего (ей) на </w:t>
      </w:r>
      <w:r w:rsidR="009648D3">
        <w:rPr>
          <w:rFonts w:ascii="Times New Roman" w:hAnsi="Times New Roman"/>
          <w:color w:val="0070C0"/>
          <w:sz w:val="20"/>
        </w:rPr>
        <w:t xml:space="preserve">основании </w:t>
      </w:r>
      <w:r w:rsidR="00614F17">
        <w:rPr>
          <w:rFonts w:ascii="Times New Roman" w:hAnsi="Times New Roman"/>
          <w:color w:val="0070C0"/>
          <w:sz w:val="20"/>
        </w:rPr>
        <w:t xml:space="preserve">_____________________________ </w:t>
      </w:r>
      <w:r w:rsidR="009648D3" w:rsidRPr="00251785">
        <w:rPr>
          <w:rFonts w:ascii="Times New Roman" w:hAnsi="Times New Roman"/>
          <w:color w:val="0070C0"/>
          <w:sz w:val="20"/>
        </w:rPr>
        <w:t>до</w:t>
      </w:r>
      <w:r w:rsidR="004652FC">
        <w:rPr>
          <w:rFonts w:ascii="Times New Roman" w:hAnsi="Times New Roman"/>
          <w:color w:val="0070C0"/>
          <w:sz w:val="20"/>
        </w:rPr>
        <w:t>веренности от __ __________ 20__</w:t>
      </w:r>
      <w:r w:rsidR="009648D3" w:rsidRPr="00251785">
        <w:rPr>
          <w:rFonts w:ascii="Times New Roman" w:hAnsi="Times New Roman"/>
          <w:color w:val="0070C0"/>
          <w:sz w:val="20"/>
        </w:rPr>
        <w:t xml:space="preserve"> № ___________</w:t>
      </w:r>
      <w:r w:rsidR="009648D3"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r w:rsidRPr="00C24207">
        <w:rPr>
          <w:rFonts w:ascii="Times New Roman" w:hAnsi="Times New Roman"/>
          <w:sz w:val="20"/>
        </w:rPr>
        <w:t xml:space="preserve">Foreign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Act</w:t>
      </w:r>
      <w:r>
        <w:rPr>
          <w:rFonts w:ascii="Times New Roman" w:hAnsi="Times New Roman"/>
          <w:sz w:val="20"/>
        </w:rPr>
        <w: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955E8">
        <w:t>совершить операции по</w:t>
      </w:r>
      <w:r w:rsidRPr="00D634F3">
        <w:t xml:space="preserve">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3955E8">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 xml:space="preserve">нормативными правовыми актами, Условиями и Перечнем документов, предоставляемых клиентами (депонентами)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3955E8" w:rsidRPr="003955E8">
        <w:t xml:space="preserve"> </w:t>
      </w:r>
      <w:r w:rsidR="003955E8">
        <w:t>и информацию,</w:t>
      </w:r>
      <w:r>
        <w:t xml:space="preserve"> необходимые Депозитарию для надлежащего выполнения им законов и иных правовых нормативных документов</w:t>
      </w:r>
      <w:r w:rsidR="003955E8">
        <w:t xml:space="preserve"> (в т.ч.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3955E8">
        <w:t>,</w:t>
      </w:r>
      <w:r w:rsidR="003955E8" w:rsidRPr="003955E8">
        <w:t xml:space="preserve"> </w:t>
      </w:r>
      <w:r w:rsidR="003955E8">
        <w:t>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Pr="00370290"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3955E8" w:rsidRDefault="003955E8" w:rsidP="003955E8">
      <w:pPr>
        <w:numPr>
          <w:ilvl w:val="2"/>
          <w:numId w:val="6"/>
        </w:numPr>
        <w:tabs>
          <w:tab w:val="num" w:pos="1134"/>
        </w:tabs>
        <w:suppressAutoHyphens w:val="0"/>
        <w:ind w:firstLine="425"/>
        <w:jc w:val="both"/>
      </w:pPr>
      <w:r>
        <w:t xml:space="preserve">При непредоставлении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560F0D" w:rsidRPr="00560F0D" w:rsidRDefault="00560F0D" w:rsidP="00560F0D">
      <w:pPr>
        <w:numPr>
          <w:ilvl w:val="1"/>
          <w:numId w:val="6"/>
        </w:numPr>
        <w:tabs>
          <w:tab w:val="clear" w:pos="1418"/>
          <w:tab w:val="num" w:pos="851"/>
        </w:tabs>
        <w:suppressAutoHyphens w:val="0"/>
        <w:ind w:firstLine="425"/>
        <w:jc w:val="both"/>
      </w:pPr>
      <w:bookmarkStart w:id="2" w:name="_Ref407703728"/>
      <w:r w:rsidRPr="00560F0D">
        <w:t>Депонент имеет право:</w:t>
      </w:r>
    </w:p>
    <w:p w:rsidR="00560F0D" w:rsidRPr="00560F0D" w:rsidRDefault="00560F0D" w:rsidP="00560F0D">
      <w:pPr>
        <w:pStyle w:val="a9"/>
        <w:numPr>
          <w:ilvl w:val="2"/>
          <w:numId w:val="7"/>
        </w:numPr>
        <w:tabs>
          <w:tab w:val="left" w:pos="1134"/>
        </w:tabs>
        <w:suppressAutoHyphens w:val="0"/>
        <w:ind w:left="0" w:firstLine="426"/>
        <w:jc w:val="both"/>
      </w:pPr>
      <w:r w:rsidRPr="00560F0D">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rsidR="00560F0D" w:rsidRPr="00560F0D" w:rsidRDefault="00560F0D" w:rsidP="00560F0D">
      <w:pPr>
        <w:pStyle w:val="a9"/>
        <w:numPr>
          <w:ilvl w:val="2"/>
          <w:numId w:val="7"/>
        </w:numPr>
        <w:tabs>
          <w:tab w:val="left" w:pos="1134"/>
        </w:tabs>
        <w:suppressAutoHyphens w:val="0"/>
        <w:ind w:left="0" w:firstLine="426"/>
        <w:jc w:val="both"/>
      </w:pPr>
      <w:r w:rsidRPr="00560F0D">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rsidR="00560F0D" w:rsidRPr="00560F0D" w:rsidRDefault="00560F0D" w:rsidP="00560F0D">
      <w:pPr>
        <w:pStyle w:val="a9"/>
        <w:numPr>
          <w:ilvl w:val="2"/>
          <w:numId w:val="7"/>
        </w:numPr>
        <w:tabs>
          <w:tab w:val="left" w:pos="1134"/>
        </w:tabs>
        <w:suppressAutoHyphens w:val="0"/>
        <w:ind w:left="0" w:firstLine="426"/>
        <w:jc w:val="both"/>
      </w:pPr>
      <w:r w:rsidRPr="00560F0D">
        <w:t>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lastRenderedPageBreak/>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fldSimple w:instr=" REF _Ref209346314 \r \h  \* MERGEFORMAT ">
        <w:r>
          <w:t>4.2</w:t>
        </w:r>
      </w:fldSimple>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78697D" w:rsidRDefault="0078697D" w:rsidP="00405D18">
      <w:pPr>
        <w:pStyle w:val="2"/>
      </w:pPr>
      <w:r w:rsidRPr="0078697D">
        <w:t xml:space="preserve">Оплата услуг (возмещение расходов) Депозитария может производиться Депонентом в иностранной валюте (доллары США, ЕВРО, фунты стерлингов). </w:t>
      </w:r>
      <w:proofErr w:type="spellStart"/>
      <w:r w:rsidRPr="0078697D">
        <w:t>Eсли</w:t>
      </w:r>
      <w:proofErr w:type="spellEnd"/>
      <w:r w:rsidRPr="0078697D">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за искажение или непредоставление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fldSimple w:instr=" REF _Ref203278959 \r \h  \* MERGEFORMAT ">
        <w:r>
          <w:t>3.2.2</w:t>
        </w:r>
      </w:fldSimple>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fldSimple w:instr=" REF _Ref407703728 \r \h  \* MERGEFORMAT ">
        <w:r>
          <w:t>3.5</w:t>
        </w:r>
      </w:fldSimple>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неденежного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560F0D" w:rsidRPr="00560F0D" w:rsidRDefault="00560F0D" w:rsidP="00560F0D">
      <w:pPr>
        <w:numPr>
          <w:ilvl w:val="1"/>
          <w:numId w:val="4"/>
        </w:numPr>
        <w:tabs>
          <w:tab w:val="clear" w:pos="1418"/>
          <w:tab w:val="num" w:pos="284"/>
          <w:tab w:val="num" w:pos="851"/>
        </w:tabs>
        <w:suppressAutoHyphens w:val="0"/>
        <w:ind w:firstLine="425"/>
        <w:jc w:val="both"/>
      </w:pPr>
      <w:r w:rsidRPr="00560F0D">
        <w:t>Депозитарий не несет ответственности перед Депонентом и/или третьими лицами:</w:t>
      </w:r>
    </w:p>
    <w:p w:rsidR="00560F0D" w:rsidRPr="00560F0D" w:rsidRDefault="00560F0D" w:rsidP="00560F0D">
      <w:pPr>
        <w:pStyle w:val="a9"/>
        <w:numPr>
          <w:ilvl w:val="2"/>
          <w:numId w:val="4"/>
        </w:numPr>
        <w:tabs>
          <w:tab w:val="clear" w:pos="0"/>
          <w:tab w:val="left" w:pos="993"/>
          <w:tab w:val="num" w:pos="1418"/>
        </w:tabs>
        <w:suppressAutoHyphens w:val="0"/>
        <w:ind w:firstLine="426"/>
        <w:jc w:val="both"/>
      </w:pPr>
      <w:r w:rsidRPr="00560F0D">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p>
    <w:p w:rsidR="00560F0D" w:rsidRPr="00560F0D" w:rsidRDefault="00560F0D" w:rsidP="00560F0D">
      <w:pPr>
        <w:pStyle w:val="a9"/>
        <w:numPr>
          <w:ilvl w:val="2"/>
          <w:numId w:val="4"/>
        </w:numPr>
        <w:tabs>
          <w:tab w:val="clear" w:pos="0"/>
          <w:tab w:val="left" w:pos="993"/>
          <w:tab w:val="num" w:pos="1418"/>
        </w:tabs>
        <w:suppressAutoHyphens w:val="0"/>
        <w:ind w:firstLine="426"/>
        <w:jc w:val="both"/>
      </w:pPr>
      <w:r w:rsidRPr="00560F0D">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DF70DF" w:rsidRDefault="00DF70DF" w:rsidP="00DF70DF">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DF70DF" w:rsidRDefault="00DF70DF" w:rsidP="00DF70DF">
      <w:pPr>
        <w:ind w:firstLine="426"/>
        <w:jc w:val="both"/>
      </w:pPr>
      <w:r>
        <w:t>Если иной срок не определен Договором</w:t>
      </w:r>
      <w:r w:rsidR="003955E8" w:rsidRPr="003955E8">
        <w:t xml:space="preserve"> </w:t>
      </w:r>
      <w:r w:rsidR="003955E8">
        <w:t>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p>
    <w:p w:rsidR="003955E8" w:rsidRDefault="003955E8" w:rsidP="00DF70DF">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списании</w:t>
      </w:r>
      <w:r w:rsidR="00560F0D">
        <w:t xml:space="preserve"> всех</w:t>
      </w:r>
      <w:r>
        <w:t xml:space="preserve"> 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560F0D" w:rsidRPr="00162203" w:rsidRDefault="00560F0D" w:rsidP="00560F0D">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t>ФОРС_МАЖОР</w:t>
      </w:r>
    </w:p>
    <w:p w:rsidR="00560F0D" w:rsidRPr="00740B9F" w:rsidRDefault="00560F0D" w:rsidP="00560F0D">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rsidR="00560F0D" w:rsidRPr="00162203" w:rsidRDefault="00560F0D" w:rsidP="00560F0D">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 зависящие от Сторон обстоятельства.</w:t>
      </w:r>
    </w:p>
    <w:p w:rsidR="00560F0D" w:rsidRPr="00740B9F" w:rsidRDefault="00560F0D" w:rsidP="00560F0D">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продлевается с учетом времени, в течение которого действуют такие обстоятельства и их последствия.</w:t>
      </w:r>
    </w:p>
    <w:p w:rsidR="00560F0D" w:rsidRPr="00740B9F" w:rsidRDefault="00560F0D" w:rsidP="00560F0D">
      <w:pPr>
        <w:pStyle w:val="2"/>
      </w:pPr>
      <w:r w:rsidRPr="00740B9F">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rsidR="00560F0D" w:rsidRPr="00740B9F" w:rsidRDefault="00560F0D" w:rsidP="00560F0D">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rsidR="00560F0D" w:rsidRPr="00740B9F" w:rsidRDefault="00560F0D" w:rsidP="00560F0D">
      <w:pPr>
        <w:pStyle w:val="2"/>
      </w:pPr>
      <w:r w:rsidRPr="00740B9F">
        <w:t>Если действия непреодолимой силы продолжаются более 2 (Двух) месяцев, любая из Сторон вправе письменно заявить об одностороннем отказе от исполнения настоящего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560F0D" w:rsidRPr="00740B9F" w:rsidRDefault="00560F0D" w:rsidP="00560F0D">
      <w:pPr>
        <w:pStyle w:val="2"/>
      </w:pPr>
      <w:bookmarkStart w:id="7" w:name="_Ref347997818"/>
      <w:r w:rsidRPr="00560F0D">
        <w:t xml:space="preserve">Настоящий </w:t>
      </w:r>
      <w:r w:rsidRPr="00740B9F">
        <w:t xml:space="preserve">Договор вступает в силу с момента его подписания </w:t>
      </w:r>
      <w:r>
        <w:t>обеими</w:t>
      </w:r>
      <w:r w:rsidRPr="00740B9F">
        <w:t xml:space="preserve"> Сторон</w:t>
      </w:r>
      <w:r>
        <w:t>ами</w:t>
      </w:r>
      <w:r w:rsidRPr="00740B9F">
        <w:t xml:space="preserve"> и считается заключённым на 3 (Три) года. 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tblPr>
      <w:tblGrid>
        <w:gridCol w:w="1809"/>
        <w:gridCol w:w="8222"/>
      </w:tblGrid>
      <w:tr w:rsidR="00405D18" w:rsidRPr="00B3789B" w:rsidTr="009648D3">
        <w:tc>
          <w:tcPr>
            <w:tcW w:w="1809" w:type="dxa"/>
          </w:tcPr>
          <w:p w:rsidR="00405D18" w:rsidRPr="00F22012" w:rsidRDefault="00405D18" w:rsidP="009648D3">
            <w:pPr>
              <w:jc w:val="both"/>
              <w:rPr>
                <w:b/>
                <w:bCs/>
              </w:rPr>
            </w:pPr>
            <w:r w:rsidRPr="00F22012">
              <w:rPr>
                <w:b/>
                <w:bCs/>
              </w:rPr>
              <w:t>Депозитарий:</w:t>
            </w:r>
          </w:p>
        </w:tc>
        <w:tc>
          <w:tcPr>
            <w:tcW w:w="8222" w:type="dxa"/>
          </w:tcPr>
          <w:p w:rsidR="000C6BD1" w:rsidRPr="00F22012" w:rsidRDefault="000C6BD1" w:rsidP="000C6BD1">
            <w:pPr>
              <w:tabs>
                <w:tab w:val="left" w:pos="318"/>
              </w:tabs>
              <w:spacing w:line="228" w:lineRule="auto"/>
              <w:jc w:val="both"/>
            </w:pPr>
            <w:r w:rsidRPr="00F22012">
              <w:t xml:space="preserve">Место нахождения: </w:t>
            </w:r>
            <w:r w:rsidR="00B3789B">
              <w:t xml:space="preserve">107014, </w:t>
            </w:r>
            <w:r w:rsidRPr="00F22012">
              <w:t>г. Москва, ул. Стром</w:t>
            </w:r>
            <w:r w:rsidR="00B3789B">
              <w:t>ынка, д. 4, корп. 1, офис 401.</w:t>
            </w:r>
          </w:p>
          <w:p w:rsidR="000C6BD1" w:rsidRPr="00F22012" w:rsidRDefault="000C6BD1" w:rsidP="000C6BD1">
            <w:pPr>
              <w:spacing w:line="228" w:lineRule="auto"/>
              <w:jc w:val="both"/>
            </w:pPr>
            <w:r w:rsidRPr="00F22012">
              <w:t xml:space="preserve">Адрес для направления корреспонденции: </w:t>
            </w:r>
            <w:smartTag w:uri="urn:schemas-microsoft-com:office:smarttags" w:element="place">
              <w:smartTagPr>
                <w:attr w:name="ProductID" w:val="107014, г"/>
              </w:smartTagPr>
              <w:smartTag w:uri="urn:schemas-microsoft-com:office:smarttags" w:element="metricconverter">
                <w:smartTagPr>
                  <w:attr w:name="ProductID" w:val="107014, г"/>
                </w:smartTagPr>
                <w:r w:rsidRPr="00F22012">
                  <w:t>107014, г</w:t>
                </w:r>
              </w:smartTag>
            </w:smartTag>
            <w:r w:rsidRPr="00F22012">
              <w:t>. Москва, ул. Стромынка, д. 4, корп. 1</w:t>
            </w:r>
            <w:r w:rsidR="00B3789B">
              <w:t>, офис 401.</w:t>
            </w:r>
            <w:r w:rsidRPr="00D9352F">
              <w:t xml:space="preserve"> </w:t>
            </w:r>
          </w:p>
          <w:p w:rsidR="000C6BD1" w:rsidRPr="005668C3" w:rsidRDefault="000C6BD1" w:rsidP="000C6BD1">
            <w:pPr>
              <w:spacing w:line="228" w:lineRule="auto"/>
              <w:jc w:val="both"/>
            </w:pPr>
            <w:r w:rsidRPr="00D634F3">
              <w:rPr>
                <w:lang w:val="en-US"/>
              </w:rPr>
              <w:t>WEB</w:t>
            </w:r>
            <w:r w:rsidRPr="005668C3">
              <w:t>-</w:t>
            </w:r>
            <w:r w:rsidRPr="00D634F3">
              <w:t>сайт</w:t>
            </w:r>
            <w:r w:rsidRPr="005668C3">
              <w:t xml:space="preserve">: </w:t>
            </w:r>
            <w:hyperlink r:id="rId7" w:history="1">
              <w:r w:rsidRPr="00F22012">
                <w:rPr>
                  <w:rStyle w:val="a4"/>
                  <w:lang w:val="en-US"/>
                </w:rPr>
                <w:t>www</w:t>
              </w:r>
              <w:r w:rsidRPr="005668C3">
                <w:rPr>
                  <w:rStyle w:val="a4"/>
                </w:rPr>
                <w:t>.</w:t>
              </w:r>
              <w:r w:rsidRPr="00F22012">
                <w:rPr>
                  <w:rStyle w:val="a4"/>
                  <w:lang w:val="en-US"/>
                </w:rPr>
                <w:t>depotech</w:t>
              </w:r>
              <w:r w:rsidRPr="005668C3">
                <w:rPr>
                  <w:rStyle w:val="a4"/>
                </w:rPr>
                <w:t>.</w:t>
              </w:r>
              <w:r w:rsidRPr="00F22012">
                <w:rPr>
                  <w:rStyle w:val="a4"/>
                  <w:lang w:val="en-US"/>
                </w:rPr>
                <w:t>ru</w:t>
              </w:r>
            </w:hyperlink>
            <w:r w:rsidRPr="005668C3">
              <w:t xml:space="preserve">  </w:t>
            </w:r>
            <w:r>
              <w:rPr>
                <w:lang w:val="en-US"/>
              </w:rPr>
              <w:t>e</w:t>
            </w:r>
            <w:r w:rsidRPr="005668C3">
              <w:t>-</w:t>
            </w:r>
            <w:r>
              <w:rPr>
                <w:lang w:val="en-US"/>
              </w:rPr>
              <w:t>mail</w:t>
            </w:r>
            <w:r w:rsidRPr="005668C3">
              <w:t xml:space="preserve">: </w:t>
            </w:r>
            <w:hyperlink r:id="rId8" w:history="1">
              <w:r w:rsidRPr="00F22012">
                <w:rPr>
                  <w:rStyle w:val="a4"/>
                  <w:lang w:val="en-US"/>
                </w:rPr>
                <w:t>dkt</w:t>
              </w:r>
              <w:r w:rsidRPr="005668C3">
                <w:rPr>
                  <w:rStyle w:val="a4"/>
                </w:rPr>
                <w:t>@</w:t>
              </w:r>
              <w:r w:rsidRPr="00F22012">
                <w:rPr>
                  <w:rStyle w:val="a4"/>
                  <w:lang w:val="en-US"/>
                </w:rPr>
                <w:t>depotech</w:t>
              </w:r>
              <w:r w:rsidRPr="005668C3">
                <w:rPr>
                  <w:rStyle w:val="a4"/>
                </w:rPr>
                <w:t>.</w:t>
              </w:r>
              <w:proofErr w:type="spellStart"/>
              <w:r w:rsidRPr="00F22012">
                <w:rPr>
                  <w:rStyle w:val="a4"/>
                  <w:lang w:val="en-US"/>
                </w:rPr>
                <w:t>ru</w:t>
              </w:r>
              <w:proofErr w:type="spellEnd"/>
            </w:hyperlink>
            <w:r w:rsidRPr="005668C3">
              <w:t xml:space="preserve">; </w:t>
            </w:r>
            <w:r w:rsidRPr="00F22012">
              <w:t>Тел</w:t>
            </w:r>
            <w:r w:rsidRPr="005668C3">
              <w:t xml:space="preserve">: +7 (495) 641-3031;-32;-33; </w:t>
            </w:r>
          </w:p>
          <w:p w:rsidR="000C6BD1" w:rsidRPr="00F22012" w:rsidRDefault="000C6BD1" w:rsidP="000C6BD1">
            <w:pPr>
              <w:spacing w:line="228" w:lineRule="auto"/>
              <w:jc w:val="both"/>
              <w:rPr>
                <w:u w:val="single"/>
              </w:rPr>
            </w:pPr>
            <w:r w:rsidRPr="00F22012">
              <w:t>ИНН 7729520219, КПП 771801001</w:t>
            </w:r>
            <w:r>
              <w:t>.</w:t>
            </w:r>
          </w:p>
          <w:p w:rsidR="005668C3" w:rsidRDefault="005668C3" w:rsidP="005668C3">
            <w:pPr>
              <w:spacing w:before="120" w:line="360" w:lineRule="auto"/>
              <w:rPr>
                <w:lang w:eastAsia="ru-RU"/>
              </w:rPr>
            </w:pPr>
            <w:r>
              <w:t>Банковские реквизиты:</w:t>
            </w:r>
            <w:r>
              <w:tab/>
            </w:r>
          </w:p>
          <w:p w:rsidR="005668C3" w:rsidRDefault="005668C3" w:rsidP="005668C3">
            <w:r>
              <w:rPr>
                <w:b/>
              </w:rPr>
              <w:t>Для оплаты в рублях:</w:t>
            </w:r>
          </w:p>
          <w:p w:rsidR="005668C3" w:rsidRDefault="005668C3" w:rsidP="005668C3">
            <w:r>
              <w:t>расчетный счет 40701810316800000001</w:t>
            </w:r>
          </w:p>
          <w:p w:rsidR="005668C3" w:rsidRDefault="005668C3" w:rsidP="005668C3">
            <w:r>
              <w:t>в Филиале Центральный Банка ВТБ (ПАО) г. Москва</w:t>
            </w:r>
          </w:p>
          <w:p w:rsidR="005668C3" w:rsidRDefault="005668C3" w:rsidP="005668C3">
            <w:r>
              <w:t>к/с 30101810145250000411</w:t>
            </w:r>
          </w:p>
          <w:p w:rsidR="005668C3" w:rsidRDefault="005668C3" w:rsidP="005668C3">
            <w:r>
              <w:t xml:space="preserve">БИК 044525411  </w:t>
            </w:r>
          </w:p>
          <w:p w:rsidR="005668C3" w:rsidRDefault="005668C3" w:rsidP="005668C3">
            <w:pPr>
              <w:spacing w:before="120"/>
              <w:rPr>
                <w:b/>
              </w:rPr>
            </w:pPr>
            <w:r>
              <w:rPr>
                <w:b/>
              </w:rPr>
              <w:t>Для оплаты в долларах США:</w:t>
            </w:r>
          </w:p>
          <w:p w:rsidR="005668C3" w:rsidRDefault="005668C3" w:rsidP="005668C3">
            <w:pPr>
              <w:rPr>
                <w:lang w:val="en-US"/>
              </w:rPr>
            </w:pPr>
            <w:r>
              <w:rPr>
                <w:lang w:val="en-US"/>
              </w:rPr>
              <w:t>Account Number: 40701840916800000015</w:t>
            </w:r>
          </w:p>
          <w:p w:rsidR="005668C3" w:rsidRDefault="005668C3" w:rsidP="005668C3">
            <w:pPr>
              <w:rPr>
                <w:lang w:val="en-US"/>
              </w:rPr>
            </w:pPr>
            <w:r>
              <w:rPr>
                <w:lang w:val="en-US"/>
              </w:rPr>
              <w:t xml:space="preserve">BENEFICIARY CUSTOMER: VTB BANK (PJSC) (TSENTRALNYI BRANCH, MOSCOW) </w:t>
            </w:r>
          </w:p>
          <w:p w:rsidR="005668C3" w:rsidRDefault="005668C3" w:rsidP="005668C3">
            <w:pPr>
              <w:rPr>
                <w:lang w:val="en-US"/>
              </w:rPr>
            </w:pPr>
            <w:r>
              <w:rPr>
                <w:bCs/>
                <w:lang w:val="en-US"/>
              </w:rPr>
              <w:t>SWIFT</w:t>
            </w:r>
            <w:r>
              <w:rPr>
                <w:lang w:val="en-US"/>
              </w:rPr>
              <w:t>:  VTBRRUMM</w:t>
            </w:r>
          </w:p>
          <w:p w:rsidR="005668C3" w:rsidRDefault="005668C3" w:rsidP="005668C3">
            <w:pPr>
              <w:rPr>
                <w:lang w:val="en-US"/>
              </w:rPr>
            </w:pPr>
            <w:r>
              <w:rPr>
                <w:lang w:val="en-US"/>
              </w:rPr>
              <w:t>Currency: USD</w:t>
            </w:r>
          </w:p>
          <w:p w:rsidR="005668C3" w:rsidRDefault="005668C3" w:rsidP="005668C3">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5668C3" w:rsidRDefault="005668C3" w:rsidP="005668C3">
            <w:pPr>
              <w:rPr>
                <w:lang w:val="en-US"/>
              </w:rPr>
            </w:pPr>
            <w:r>
              <w:rPr>
                <w:lang w:val="en-US"/>
              </w:rPr>
              <w:t>Account: 890-0055-006</w:t>
            </w:r>
          </w:p>
          <w:p w:rsidR="005668C3" w:rsidRDefault="005668C3" w:rsidP="005668C3">
            <w:pPr>
              <w:rPr>
                <w:lang w:val="en-US"/>
              </w:rPr>
            </w:pPr>
            <w:r>
              <w:rPr>
                <w:lang w:val="en-US"/>
              </w:rPr>
              <w:t>Correspondent bank: Bank of New York Mellon, New York</w:t>
            </w:r>
          </w:p>
          <w:p w:rsidR="005668C3" w:rsidRDefault="005668C3" w:rsidP="005668C3">
            <w:pPr>
              <w:rPr>
                <w:lang w:val="en-US"/>
              </w:rPr>
            </w:pPr>
            <w:r>
              <w:rPr>
                <w:lang w:val="en-US"/>
              </w:rPr>
              <w:t>BIC: IRVTUS3N</w:t>
            </w:r>
          </w:p>
          <w:p w:rsidR="005668C3" w:rsidRDefault="005668C3" w:rsidP="005668C3">
            <w:pPr>
              <w:rPr>
                <w:lang w:val="en-US"/>
              </w:rPr>
            </w:pPr>
            <w:r>
              <w:rPr>
                <w:lang w:val="en-US"/>
              </w:rPr>
              <w:t>Account: 36208997</w:t>
            </w:r>
          </w:p>
          <w:p w:rsidR="005668C3" w:rsidRDefault="005668C3" w:rsidP="005668C3">
            <w:pPr>
              <w:rPr>
                <w:lang w:val="en-US"/>
              </w:rPr>
            </w:pPr>
            <w:r>
              <w:rPr>
                <w:lang w:val="en-US"/>
              </w:rPr>
              <w:t>Correspondent bank: Citibank NA, New York</w:t>
            </w:r>
          </w:p>
          <w:p w:rsidR="005668C3" w:rsidRDefault="005668C3" w:rsidP="005668C3">
            <w:r>
              <w:rPr>
                <w:lang w:val="en-US"/>
              </w:rPr>
              <w:t>BIC</w:t>
            </w:r>
            <w:r>
              <w:t xml:space="preserve">: </w:t>
            </w:r>
            <w:r>
              <w:rPr>
                <w:lang w:val="en-US"/>
              </w:rPr>
              <w:t>CITIUS</w:t>
            </w:r>
            <w:r>
              <w:t>33</w:t>
            </w:r>
          </w:p>
          <w:p w:rsidR="005668C3" w:rsidRDefault="005668C3" w:rsidP="005668C3">
            <w:pPr>
              <w:spacing w:before="120"/>
              <w:rPr>
                <w:b/>
              </w:rPr>
            </w:pPr>
            <w:r>
              <w:rPr>
                <w:b/>
              </w:rPr>
              <w:t>Для оплаты в ЕВРО:</w:t>
            </w:r>
          </w:p>
          <w:p w:rsidR="005668C3" w:rsidRDefault="005668C3" w:rsidP="005668C3">
            <w:pPr>
              <w:rPr>
                <w:lang w:val="en-US"/>
              </w:rPr>
            </w:pPr>
            <w:r>
              <w:rPr>
                <w:lang w:val="en-US"/>
              </w:rPr>
              <w:t>Account Number: 40701978016800000010</w:t>
            </w:r>
          </w:p>
          <w:p w:rsidR="005668C3" w:rsidRDefault="005668C3" w:rsidP="005668C3">
            <w:pPr>
              <w:rPr>
                <w:lang w:val="en-US"/>
              </w:rPr>
            </w:pPr>
            <w:r>
              <w:rPr>
                <w:lang w:val="en-US"/>
              </w:rPr>
              <w:t>BENEFICIARY CUSTOMER: VTB BANK (PJSC) (TSENTRALNYI BRANCH, MOSCOW)</w:t>
            </w:r>
          </w:p>
          <w:p w:rsidR="005668C3" w:rsidRDefault="005668C3" w:rsidP="005668C3">
            <w:pPr>
              <w:rPr>
                <w:lang w:val="en-US"/>
              </w:rPr>
            </w:pPr>
            <w:r>
              <w:rPr>
                <w:bCs/>
                <w:lang w:val="en-US"/>
              </w:rPr>
              <w:t>SWIFT</w:t>
            </w:r>
            <w:r>
              <w:rPr>
                <w:lang w:val="en-US"/>
              </w:rPr>
              <w:t>:  VTBRRUMM</w:t>
            </w:r>
          </w:p>
          <w:p w:rsidR="005668C3" w:rsidRDefault="005668C3" w:rsidP="005668C3">
            <w:pPr>
              <w:rPr>
                <w:lang w:val="en-US"/>
              </w:rPr>
            </w:pPr>
            <w:r>
              <w:rPr>
                <w:lang w:val="en-US"/>
              </w:rPr>
              <w:t xml:space="preserve">Currency: EUR </w:t>
            </w:r>
          </w:p>
          <w:p w:rsidR="005668C3" w:rsidRDefault="005668C3" w:rsidP="005668C3">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5668C3" w:rsidRDefault="005668C3" w:rsidP="005668C3">
            <w:pPr>
              <w:rPr>
                <w:bCs/>
                <w:lang w:val="en-US"/>
              </w:rPr>
            </w:pPr>
            <w:r>
              <w:rPr>
                <w:lang w:val="en-US"/>
              </w:rPr>
              <w:t xml:space="preserve">Currency: </w:t>
            </w:r>
            <w:r>
              <w:rPr>
                <w:bCs/>
                <w:lang w:val="en-US"/>
              </w:rPr>
              <w:t>EUR</w:t>
            </w:r>
          </w:p>
          <w:p w:rsidR="005668C3" w:rsidRDefault="005668C3" w:rsidP="005668C3">
            <w:pPr>
              <w:rPr>
                <w:lang w:val="en-US"/>
              </w:rPr>
            </w:pPr>
            <w:r>
              <w:rPr>
                <w:lang w:val="en-US"/>
              </w:rPr>
              <w:t>Account:</w:t>
            </w:r>
            <w:r>
              <w:rPr>
                <w:bCs/>
                <w:lang w:val="en-US"/>
              </w:rPr>
              <w:t xml:space="preserve"> </w:t>
            </w:r>
            <w:r>
              <w:rPr>
                <w:lang w:val="en-US"/>
              </w:rPr>
              <w:t>0102758018</w:t>
            </w:r>
          </w:p>
          <w:p w:rsidR="005668C3" w:rsidRDefault="005668C3" w:rsidP="005668C3">
            <w:pPr>
              <w:rPr>
                <w:lang w:val="en-US"/>
              </w:rPr>
            </w:pPr>
            <w:r>
              <w:rPr>
                <w:lang w:val="en-US"/>
              </w:rPr>
              <w:t>Correspondent bank: VTB Bank (Deutschland) AG, Frankfurt-Am-Main</w:t>
            </w:r>
          </w:p>
          <w:p w:rsidR="00405D18" w:rsidRPr="00F22012" w:rsidRDefault="005668C3" w:rsidP="005668C3">
            <w:pPr>
              <w:spacing w:line="228" w:lineRule="auto"/>
              <w:rPr>
                <w:lang w:val="en-US"/>
              </w:rPr>
            </w:pPr>
            <w:r>
              <w:rPr>
                <w:bCs/>
                <w:lang w:val="en-US"/>
              </w:rPr>
              <w:t>BIC: OWHBDEFF</w:t>
            </w:r>
          </w:p>
        </w:tc>
      </w:tr>
      <w:tr w:rsidR="00405D18" w:rsidRPr="00B3789B" w:rsidTr="009648D3">
        <w:tc>
          <w:tcPr>
            <w:tcW w:w="1809" w:type="dxa"/>
          </w:tcPr>
          <w:p w:rsidR="00405D18" w:rsidRPr="00F22012" w:rsidRDefault="00405D18" w:rsidP="009648D3">
            <w:pPr>
              <w:jc w:val="both"/>
              <w:rPr>
                <w:lang w:val="en-US"/>
              </w:rPr>
            </w:pPr>
          </w:p>
        </w:tc>
        <w:tc>
          <w:tcPr>
            <w:tcW w:w="8222" w:type="dxa"/>
          </w:tcPr>
          <w:p w:rsidR="00405D18" w:rsidRPr="00F22012" w:rsidRDefault="00405D18" w:rsidP="009648D3">
            <w:pPr>
              <w:jc w:val="both"/>
              <w:rPr>
                <w:lang w:val="en-US"/>
              </w:rPr>
            </w:pPr>
          </w:p>
        </w:tc>
      </w:tr>
      <w:tr w:rsidR="00405D18" w:rsidRPr="00F22012" w:rsidTr="009648D3">
        <w:tc>
          <w:tcPr>
            <w:tcW w:w="1809" w:type="dxa"/>
          </w:tcPr>
          <w:p w:rsidR="00405D18" w:rsidRPr="00F22012" w:rsidRDefault="00405D18" w:rsidP="009648D3">
            <w:pPr>
              <w:jc w:val="both"/>
              <w:rPr>
                <w:b/>
                <w:bCs/>
              </w:rPr>
            </w:pPr>
            <w:r w:rsidRPr="00F22012">
              <w:rPr>
                <w:b/>
                <w:bCs/>
              </w:rPr>
              <w:t>Депонент:</w:t>
            </w:r>
          </w:p>
        </w:tc>
        <w:tc>
          <w:tcPr>
            <w:tcW w:w="8222" w:type="dxa"/>
          </w:tcPr>
          <w:p w:rsidR="0078697D" w:rsidRPr="00A15D69" w:rsidRDefault="009648D3" w:rsidP="0078697D">
            <w:pPr>
              <w:jc w:val="both"/>
            </w:pPr>
            <w:r>
              <w:t xml:space="preserve">Документ, удостоверяющий личность: </w:t>
            </w:r>
            <w:r w:rsidR="0078697D" w:rsidRPr="00A15D69">
              <w:t xml:space="preserve">паспорт </w:t>
            </w:r>
            <w:r w:rsidR="0078697D">
              <w:t xml:space="preserve">гражданина (подданного) _____________ </w:t>
            </w:r>
            <w:r w:rsidR="0078697D" w:rsidRPr="00A15D69">
              <w:t xml:space="preserve">, выданный </w:t>
            </w:r>
            <w:r w:rsidR="0078697D">
              <w:t>__</w:t>
            </w:r>
            <w:r w:rsidR="0078697D" w:rsidRPr="00A15D69">
              <w:t>.</w:t>
            </w:r>
            <w:r w:rsidR="0078697D">
              <w:t>__</w:t>
            </w:r>
            <w:r w:rsidR="0078697D" w:rsidRPr="00A15D69">
              <w:t>.</w:t>
            </w:r>
            <w:r w:rsidR="0078697D">
              <w:t xml:space="preserve">_____ </w:t>
            </w:r>
            <w:r w:rsidR="0078697D" w:rsidRPr="00A15D69">
              <w:t xml:space="preserve">г. </w:t>
            </w:r>
            <w:r w:rsidR="0078697D">
              <w:t>_________________________________________________________</w:t>
            </w:r>
          </w:p>
          <w:p w:rsidR="009648D3" w:rsidRDefault="0078697D" w:rsidP="0078697D">
            <w:pPr>
              <w:jc w:val="both"/>
            </w:pPr>
            <w:r>
              <w:t>______________________________________________________________________________</w:t>
            </w:r>
          </w:p>
          <w:p w:rsidR="009648D3" w:rsidRDefault="009648D3" w:rsidP="009648D3">
            <w:pPr>
              <w:jc w:val="both"/>
            </w:pPr>
            <w:r>
              <w:t>______________________________________________________________________________</w:t>
            </w:r>
          </w:p>
          <w:p w:rsidR="009648D3" w:rsidRDefault="009648D3" w:rsidP="009648D3">
            <w:pPr>
              <w:jc w:val="both"/>
            </w:pPr>
            <w:r>
              <w:t xml:space="preserve">Место </w:t>
            </w:r>
            <w:r w:rsidR="00975AEC">
              <w:t xml:space="preserve">регистрации по месту </w:t>
            </w:r>
            <w:r>
              <w:t>жительства</w:t>
            </w:r>
            <w:r w:rsidR="001579B6">
              <w:t xml:space="preserve"> (если имеется)</w:t>
            </w:r>
            <w:r>
              <w:t>: _____</w:t>
            </w:r>
            <w:r w:rsidR="00975AEC">
              <w:t>____________</w:t>
            </w:r>
            <w:r>
              <w:t>__________________</w:t>
            </w:r>
            <w:r w:rsidR="00975AEC">
              <w:t>________________________________________</w:t>
            </w:r>
            <w:r>
              <w:t>__________________________</w:t>
            </w:r>
          </w:p>
          <w:p w:rsidR="009648D3" w:rsidRDefault="009648D3" w:rsidP="009648D3">
            <w:pPr>
              <w:jc w:val="both"/>
            </w:pPr>
            <w:r>
              <w:t xml:space="preserve"> </w:t>
            </w:r>
          </w:p>
          <w:p w:rsidR="009648D3" w:rsidRDefault="009648D3" w:rsidP="009648D3">
            <w:pPr>
              <w:jc w:val="both"/>
            </w:pPr>
            <w:r>
              <w:t>Почтовый адрес для направления корреспонденции: ________________________________ _____________________________________________</w:t>
            </w:r>
          </w:p>
          <w:p w:rsidR="009648D3" w:rsidRDefault="009648D3" w:rsidP="009648D3">
            <w:pPr>
              <w:jc w:val="both"/>
            </w:pPr>
            <w:r>
              <w:t>Тел: ___________________________ e-mail: ___________________________</w:t>
            </w:r>
          </w:p>
          <w:p w:rsidR="009648D3" w:rsidRDefault="009C109D" w:rsidP="009648D3">
            <w:pPr>
              <w:jc w:val="both"/>
            </w:pPr>
            <w:r>
              <w:t>___________________________________</w:t>
            </w:r>
          </w:p>
          <w:p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rsidR="00405D18" w:rsidRPr="00F22012" w:rsidRDefault="00405D18" w:rsidP="000051EB">
      <w:pPr>
        <w:pStyle w:val="1PalatinoLinotype1218"/>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tblPr>
      <w:tblGrid>
        <w:gridCol w:w="4503"/>
        <w:gridCol w:w="992"/>
        <w:gridCol w:w="4361"/>
      </w:tblGrid>
      <w:tr w:rsidR="00405D18" w:rsidRPr="00F22012" w:rsidTr="009648D3">
        <w:tc>
          <w:tcPr>
            <w:tcW w:w="4503" w:type="dxa"/>
          </w:tcPr>
          <w:p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rsidR="00405D18" w:rsidRPr="00F22012" w:rsidRDefault="00405D18" w:rsidP="009648D3">
            <w:pPr>
              <w:tabs>
                <w:tab w:val="left" w:pos="6379"/>
              </w:tabs>
              <w:spacing w:before="120"/>
              <w:jc w:val="both"/>
              <w:rPr>
                <w:b/>
                <w:caps/>
              </w:rPr>
            </w:pPr>
          </w:p>
        </w:tc>
        <w:tc>
          <w:tcPr>
            <w:tcW w:w="4361" w:type="dxa"/>
          </w:tcPr>
          <w:p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rsidTr="009648D3">
        <w:tc>
          <w:tcPr>
            <w:tcW w:w="4503" w:type="dxa"/>
            <w:vAlign w:val="bottom"/>
          </w:tcPr>
          <w:p w:rsidR="00405D18" w:rsidRPr="00F22012" w:rsidRDefault="00405D18" w:rsidP="009648D3">
            <w:pPr>
              <w:tabs>
                <w:tab w:val="left" w:pos="6379"/>
              </w:tabs>
              <w:spacing w:before="120"/>
              <w:jc w:val="right"/>
            </w:pPr>
          </w:p>
          <w:p w:rsidR="00405D18" w:rsidRPr="00F22012" w:rsidRDefault="00405D18" w:rsidP="009648D3">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9648D3">
            <w:pPr>
              <w:tabs>
                <w:tab w:val="left" w:pos="6379"/>
              </w:tabs>
              <w:spacing w:before="120"/>
              <w:jc w:val="right"/>
              <w:rPr>
                <w:b/>
                <w:caps/>
              </w:rPr>
            </w:pPr>
          </w:p>
        </w:tc>
        <w:tc>
          <w:tcPr>
            <w:tcW w:w="4361" w:type="dxa"/>
            <w:vAlign w:val="bottom"/>
          </w:tcPr>
          <w:p w:rsidR="00405D18" w:rsidRPr="00F22012" w:rsidRDefault="00405D18" w:rsidP="009648D3">
            <w:pPr>
              <w:tabs>
                <w:tab w:val="left" w:pos="6379"/>
              </w:tabs>
              <w:spacing w:before="120"/>
              <w:jc w:val="right"/>
              <w:rPr>
                <w:b/>
                <w:caps/>
              </w:rPr>
            </w:pPr>
          </w:p>
        </w:tc>
      </w:tr>
      <w:tr w:rsidR="00405D18" w:rsidRPr="00F22012" w:rsidTr="009648D3">
        <w:tc>
          <w:tcPr>
            <w:tcW w:w="4503" w:type="dxa"/>
          </w:tcPr>
          <w:p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rsidR="00405D18" w:rsidRPr="00F22012" w:rsidRDefault="00405D18" w:rsidP="009648D3">
            <w:pPr>
              <w:tabs>
                <w:tab w:val="left" w:pos="6379"/>
              </w:tabs>
              <w:spacing w:before="120"/>
              <w:jc w:val="both"/>
              <w:rPr>
                <w:vertAlign w:val="superscript"/>
              </w:rPr>
            </w:pPr>
          </w:p>
        </w:tc>
        <w:tc>
          <w:tcPr>
            <w:tcW w:w="4361" w:type="dxa"/>
          </w:tcPr>
          <w:p w:rsidR="00405D18" w:rsidRPr="00F22012" w:rsidRDefault="00405D18" w:rsidP="009648D3">
            <w:pPr>
              <w:tabs>
                <w:tab w:val="left" w:pos="6379"/>
              </w:tabs>
              <w:spacing w:before="120"/>
              <w:jc w:val="both"/>
              <w:rPr>
                <w:b/>
                <w:caps/>
              </w:rPr>
            </w:pPr>
          </w:p>
        </w:tc>
      </w:tr>
    </w:tbl>
    <w:p w:rsidR="009D5F90" w:rsidRDefault="009D5F90"/>
    <w:sectPr w:rsidR="009D5F90" w:rsidSect="00AA5D46">
      <w:headerReference w:type="even" r:id="rId9"/>
      <w:headerReference w:type="default" r:id="rId10"/>
      <w:footerReference w:type="even" r:id="rId11"/>
      <w:footerReference w:type="default" r:id="rId12"/>
      <w:headerReference w:type="first" r:id="rId13"/>
      <w:footerReference w:type="first" r:id="rId14"/>
      <w:pgSz w:w="11906" w:h="16838" w:code="9"/>
      <w:pgMar w:top="709" w:right="707" w:bottom="851" w:left="1276"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EF" w:rsidRDefault="00EF1FEF">
      <w:r>
        <w:separator/>
      </w:r>
    </w:p>
  </w:endnote>
  <w:endnote w:type="continuationSeparator" w:id="0">
    <w:p w:rsidR="00EF1FEF" w:rsidRDefault="00EF1FE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F8" w:rsidRDefault="00542D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97" w:rsidRPr="004E3821" w:rsidRDefault="001659A2" w:rsidP="00560F0D">
    <w:pPr>
      <w:pStyle w:val="colonup"/>
      <w:pBdr>
        <w:top w:val="single" w:sz="4" w:space="1" w:color="auto"/>
        <w:bottom w:val="none" w:sz="0" w:space="0" w:color="auto"/>
      </w:pBdr>
      <w:tabs>
        <w:tab w:val="left" w:pos="8364"/>
        <w:tab w:val="left" w:pos="8505"/>
      </w:tabs>
      <w:rPr>
        <w:color w:val="800000"/>
        <w:sz w:val="20"/>
        <w:lang w:val="en-US"/>
      </w:rPr>
    </w:pPr>
    <w:r>
      <w:rPr>
        <w:color w:val="800000"/>
        <w:sz w:val="20"/>
      </w:rPr>
      <w:t xml:space="preserve">                                                                                                      </w:t>
    </w:r>
    <w:r w:rsidR="00560F0D">
      <w:rPr>
        <w:color w:val="800000"/>
        <w:sz w:val="20"/>
      </w:rPr>
      <w:tab/>
    </w:r>
    <w:r>
      <w:rPr>
        <w:color w:val="800000"/>
        <w:sz w:val="20"/>
      </w:rPr>
      <w:t xml:space="preserve">   </w:t>
    </w:r>
    <w:r w:rsidR="00560F0D">
      <w:rPr>
        <w:color w:val="800000"/>
        <w:sz w:val="20"/>
      </w:rPr>
      <w:t xml:space="preserve">         </w:t>
    </w:r>
    <w:r w:rsidR="00064A97" w:rsidRPr="003F7B1D">
      <w:rPr>
        <w:color w:val="800000"/>
        <w:sz w:val="20"/>
      </w:rPr>
      <w:t xml:space="preserve">стр. </w:t>
    </w:r>
    <w:r w:rsidR="00786586" w:rsidRPr="003F7B1D">
      <w:rPr>
        <w:color w:val="800000"/>
        <w:sz w:val="20"/>
      </w:rPr>
      <w:fldChar w:fldCharType="begin"/>
    </w:r>
    <w:r w:rsidR="00064A97" w:rsidRPr="003F7B1D">
      <w:rPr>
        <w:color w:val="800000"/>
        <w:sz w:val="20"/>
      </w:rPr>
      <w:instrText xml:space="preserve"> PAGE </w:instrText>
    </w:r>
    <w:r w:rsidR="00786586" w:rsidRPr="003F7B1D">
      <w:rPr>
        <w:color w:val="800000"/>
        <w:sz w:val="20"/>
      </w:rPr>
      <w:fldChar w:fldCharType="separate"/>
    </w:r>
    <w:r w:rsidR="00542DF8">
      <w:rPr>
        <w:noProof/>
        <w:color w:val="800000"/>
        <w:sz w:val="20"/>
      </w:rPr>
      <w:t>2</w:t>
    </w:r>
    <w:r w:rsidR="00786586" w:rsidRPr="003F7B1D">
      <w:rPr>
        <w:color w:val="800000"/>
        <w:sz w:val="20"/>
      </w:rPr>
      <w:fldChar w:fldCharType="end"/>
    </w:r>
    <w:r w:rsidR="00064A97" w:rsidRPr="003F7B1D">
      <w:rPr>
        <w:color w:val="800000"/>
        <w:sz w:val="20"/>
      </w:rPr>
      <w:t xml:space="preserve"> из </w:t>
    </w:r>
    <w:r w:rsidR="00786586" w:rsidRPr="003F7B1D">
      <w:rPr>
        <w:color w:val="800000"/>
        <w:sz w:val="20"/>
      </w:rPr>
      <w:fldChar w:fldCharType="begin"/>
    </w:r>
    <w:r w:rsidR="00064A97" w:rsidRPr="003F7B1D">
      <w:rPr>
        <w:color w:val="800000"/>
        <w:sz w:val="20"/>
      </w:rPr>
      <w:instrText xml:space="preserve"> NUMPAGES </w:instrText>
    </w:r>
    <w:r w:rsidR="00786586" w:rsidRPr="003F7B1D">
      <w:rPr>
        <w:color w:val="800000"/>
        <w:sz w:val="20"/>
      </w:rPr>
      <w:fldChar w:fldCharType="separate"/>
    </w:r>
    <w:r w:rsidR="00542DF8">
      <w:rPr>
        <w:noProof/>
        <w:color w:val="800000"/>
        <w:sz w:val="20"/>
      </w:rPr>
      <w:t>8</w:t>
    </w:r>
    <w:r w:rsidR="00786586" w:rsidRPr="003F7B1D">
      <w:rPr>
        <w:color w:val="80000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F8" w:rsidRDefault="00542D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EF" w:rsidRDefault="00EF1FEF">
      <w:r>
        <w:separator/>
      </w:r>
    </w:p>
  </w:footnote>
  <w:footnote w:type="continuationSeparator" w:id="0">
    <w:p w:rsidR="00EF1FEF" w:rsidRDefault="00EF1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F8" w:rsidRDefault="00542D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F8" w:rsidRDefault="00542D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F8" w:rsidRDefault="00542D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405D18"/>
    <w:rsid w:val="000033BC"/>
    <w:rsid w:val="00004161"/>
    <w:rsid w:val="00004299"/>
    <w:rsid w:val="0000506B"/>
    <w:rsid w:val="000051E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4A97"/>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C6BD1"/>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0EA8"/>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579B6"/>
    <w:rsid w:val="00160B50"/>
    <w:rsid w:val="001616B6"/>
    <w:rsid w:val="00161ADE"/>
    <w:rsid w:val="00161DDD"/>
    <w:rsid w:val="00163091"/>
    <w:rsid w:val="00163AB0"/>
    <w:rsid w:val="001652AB"/>
    <w:rsid w:val="00165559"/>
    <w:rsid w:val="001659A2"/>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4E44"/>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1F61"/>
    <w:rsid w:val="00273BCB"/>
    <w:rsid w:val="002757E2"/>
    <w:rsid w:val="0027583E"/>
    <w:rsid w:val="00276705"/>
    <w:rsid w:val="00276E69"/>
    <w:rsid w:val="002774A1"/>
    <w:rsid w:val="0028140C"/>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4538C"/>
    <w:rsid w:val="00350EBA"/>
    <w:rsid w:val="0035132F"/>
    <w:rsid w:val="00351ADD"/>
    <w:rsid w:val="003552BE"/>
    <w:rsid w:val="0035736F"/>
    <w:rsid w:val="00360D12"/>
    <w:rsid w:val="003617C5"/>
    <w:rsid w:val="00362F11"/>
    <w:rsid w:val="00364423"/>
    <w:rsid w:val="00364C67"/>
    <w:rsid w:val="0036619D"/>
    <w:rsid w:val="0037269E"/>
    <w:rsid w:val="00374120"/>
    <w:rsid w:val="00374295"/>
    <w:rsid w:val="003743A5"/>
    <w:rsid w:val="00374514"/>
    <w:rsid w:val="00376F69"/>
    <w:rsid w:val="00380A49"/>
    <w:rsid w:val="00380D2C"/>
    <w:rsid w:val="00385F7E"/>
    <w:rsid w:val="00387FE8"/>
    <w:rsid w:val="0039032B"/>
    <w:rsid w:val="0039184E"/>
    <w:rsid w:val="00392187"/>
    <w:rsid w:val="00392B53"/>
    <w:rsid w:val="003955E8"/>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2FC"/>
    <w:rsid w:val="00465804"/>
    <w:rsid w:val="00470E2F"/>
    <w:rsid w:val="00473999"/>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35B6"/>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5BC6"/>
    <w:rsid w:val="00537BA1"/>
    <w:rsid w:val="005429FC"/>
    <w:rsid w:val="00542DF8"/>
    <w:rsid w:val="00542ECD"/>
    <w:rsid w:val="00542F19"/>
    <w:rsid w:val="0054558A"/>
    <w:rsid w:val="0054703F"/>
    <w:rsid w:val="00547382"/>
    <w:rsid w:val="0055173E"/>
    <w:rsid w:val="005525FF"/>
    <w:rsid w:val="0055271C"/>
    <w:rsid w:val="005528EF"/>
    <w:rsid w:val="00553213"/>
    <w:rsid w:val="005558AA"/>
    <w:rsid w:val="00560158"/>
    <w:rsid w:val="00560A71"/>
    <w:rsid w:val="00560F0D"/>
    <w:rsid w:val="00562443"/>
    <w:rsid w:val="005625CE"/>
    <w:rsid w:val="00562E1C"/>
    <w:rsid w:val="005659EE"/>
    <w:rsid w:val="005668C3"/>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2801"/>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86586"/>
    <w:rsid w:val="0078697D"/>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2F2D"/>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29BB"/>
    <w:rsid w:val="009A44E4"/>
    <w:rsid w:val="009A73B0"/>
    <w:rsid w:val="009B3E2F"/>
    <w:rsid w:val="009B4213"/>
    <w:rsid w:val="009C053C"/>
    <w:rsid w:val="009C0A32"/>
    <w:rsid w:val="009C109D"/>
    <w:rsid w:val="009C128C"/>
    <w:rsid w:val="009C1CB3"/>
    <w:rsid w:val="009C2355"/>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2B4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6C"/>
    <w:rsid w:val="00AA25F9"/>
    <w:rsid w:val="00AA3689"/>
    <w:rsid w:val="00AA372A"/>
    <w:rsid w:val="00AA431F"/>
    <w:rsid w:val="00AA5D46"/>
    <w:rsid w:val="00AA7AFD"/>
    <w:rsid w:val="00AA7F37"/>
    <w:rsid w:val="00AB0AFF"/>
    <w:rsid w:val="00AB15FB"/>
    <w:rsid w:val="00AB4C86"/>
    <w:rsid w:val="00AB7B09"/>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3789B"/>
    <w:rsid w:val="00B42B37"/>
    <w:rsid w:val="00B445E7"/>
    <w:rsid w:val="00B45F64"/>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7E4"/>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968E2"/>
    <w:rsid w:val="00CA39DB"/>
    <w:rsid w:val="00CA6D4E"/>
    <w:rsid w:val="00CA7892"/>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0BE8"/>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4FE4"/>
    <w:rsid w:val="00E35426"/>
    <w:rsid w:val="00E36E42"/>
    <w:rsid w:val="00E3765F"/>
    <w:rsid w:val="00E377B5"/>
    <w:rsid w:val="00E4092F"/>
    <w:rsid w:val="00E40988"/>
    <w:rsid w:val="00E41172"/>
    <w:rsid w:val="00E41C4A"/>
    <w:rsid w:val="00E45275"/>
    <w:rsid w:val="00E46EFC"/>
    <w:rsid w:val="00E474A3"/>
    <w:rsid w:val="00E5204E"/>
    <w:rsid w:val="00E52462"/>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1FEF"/>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1046"/>
    <w:rsid w:val="00FF36E8"/>
    <w:rsid w:val="00FF3FC2"/>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380D2C"/>
    <w:pPr>
      <w:tabs>
        <w:tab w:val="center" w:pos="4677"/>
        <w:tab w:val="right" w:pos="9355"/>
      </w:tabs>
    </w:pPr>
  </w:style>
  <w:style w:type="character" w:customStyle="1" w:styleId="a6">
    <w:name w:val="Верхний колонтитул Знак"/>
    <w:basedOn w:val="a0"/>
    <w:link w:val="a5"/>
    <w:uiPriority w:val="99"/>
    <w:rsid w:val="00380D2C"/>
    <w:rPr>
      <w:rFonts w:ascii="Times New Roman" w:eastAsia="Times New Roman" w:hAnsi="Times New Roman"/>
      <w:lang w:eastAsia="ar-SA"/>
    </w:rPr>
  </w:style>
  <w:style w:type="paragraph" w:styleId="a7">
    <w:name w:val="footer"/>
    <w:basedOn w:val="a"/>
    <w:link w:val="a8"/>
    <w:uiPriority w:val="99"/>
    <w:unhideWhenUsed/>
    <w:rsid w:val="00380D2C"/>
    <w:pPr>
      <w:tabs>
        <w:tab w:val="center" w:pos="4677"/>
        <w:tab w:val="right" w:pos="9355"/>
      </w:tabs>
    </w:pPr>
  </w:style>
  <w:style w:type="character" w:customStyle="1" w:styleId="a8">
    <w:name w:val="Нижний колонтитул Знак"/>
    <w:basedOn w:val="a0"/>
    <w:link w:val="a7"/>
    <w:uiPriority w:val="99"/>
    <w:rsid w:val="00380D2C"/>
    <w:rPr>
      <w:rFonts w:ascii="Times New Roman" w:eastAsia="Times New Roman" w:hAnsi="Times New Roman"/>
      <w:lang w:eastAsia="ar-SA"/>
    </w:rPr>
  </w:style>
  <w:style w:type="paragraph" w:styleId="a9">
    <w:name w:val="List Paragraph"/>
    <w:basedOn w:val="a"/>
    <w:uiPriority w:val="34"/>
    <w:qFormat/>
    <w:rsid w:val="00560F0D"/>
    <w:pPr>
      <w:ind w:left="720"/>
      <w:contextualSpacing/>
    </w:pPr>
  </w:style>
</w:styles>
</file>

<file path=word/webSettings.xml><?xml version="1.0" encoding="utf-8"?>
<w:webSettings xmlns:r="http://schemas.openxmlformats.org/officeDocument/2006/relationships" xmlns:w="http://schemas.openxmlformats.org/wordprocessingml/2006/main">
  <w:divs>
    <w:div w:id="18630828">
      <w:bodyDiv w:val="1"/>
      <w:marLeft w:val="0"/>
      <w:marRight w:val="0"/>
      <w:marTop w:val="0"/>
      <w:marBottom w:val="0"/>
      <w:divBdr>
        <w:top w:val="none" w:sz="0" w:space="0" w:color="auto"/>
        <w:left w:val="none" w:sz="0" w:space="0" w:color="auto"/>
        <w:bottom w:val="none" w:sz="0" w:space="0" w:color="auto"/>
        <w:right w:val="none" w:sz="0" w:space="0" w:color="auto"/>
      </w:divBdr>
    </w:div>
    <w:div w:id="612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www.depotech.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DF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5216</Words>
  <Characters>29733</Characters>
  <Application>Microsoft Office Word</Application>
  <DocSecurity>0</DocSecurity>
  <Lines>247</Lines>
  <Paragraphs>69</Paragraphs>
  <ScaleCrop>false</ScaleCrop>
  <Company/>
  <LinksUpToDate>false</LinksUpToDate>
  <CharactersWithSpaces>34880</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2022-12-05T13:59:00Z</dcterms:created>
  <dcterms:modified xsi:type="dcterms:W3CDTF">2022-12-05T13:59:00Z</dcterms:modified>
</cp:coreProperties>
</file>